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“ 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gminie Iława 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qcU2/xlUuOefAloojjWCrxqwew==">CgMxLjAyCGguZ2pkZ3hzMgloLjMwajB6bGw4AGojChRzdWdnZXN0LnhiZncyNG5qbml2ZRILS2Fyb2wgTm93YWtqIwoUc3VnZ2VzdC43cXgxNDRuaXgzOWMSC0thcm9sIE5vd2FraiMKFHN1Z2dlc3QuZXhkcWR4djl5d3JmEgtLYXJvbCBOb3dha2ojChRzdWdnZXN0LnJ2ZzQwMXB1d2p1dRILS2Fyb2wgTm93YWtyITFsa2xGT25OZ3d5N29NSVV3Rm55M2lldC1ZSDZKQThJ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